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1A" w:rsidRPr="002F561A" w:rsidRDefault="002F561A" w:rsidP="002F561A">
      <w:pPr>
        <w:spacing w:after="0" w:line="240" w:lineRule="auto"/>
        <w:contextualSpacing/>
        <w:jc w:val="center"/>
        <w:rPr>
          <w:rFonts w:asciiTheme="majorHAnsi" w:eastAsiaTheme="majorEastAsia" w:hAnsiTheme="majorHAnsi" w:cstheme="majorBidi"/>
          <w:bCs/>
          <w:spacing w:val="-10"/>
          <w:kern w:val="28"/>
          <w:sz w:val="40"/>
          <w:szCs w:val="40"/>
          <w:lang w:eastAsia="zh-CN"/>
        </w:rPr>
      </w:pPr>
      <w:r w:rsidRPr="002F561A">
        <w:rPr>
          <w:rFonts w:asciiTheme="majorHAnsi" w:eastAsiaTheme="majorEastAsia" w:hAnsiTheme="majorHAnsi" w:cstheme="majorBidi"/>
          <w:bCs/>
          <w:spacing w:val="-10"/>
          <w:kern w:val="28"/>
          <w:sz w:val="40"/>
          <w:szCs w:val="40"/>
          <w:lang w:eastAsia="zh-CN"/>
        </w:rPr>
        <w:t>Employee/Independent Contractor</w:t>
      </w:r>
    </w:p>
    <w:p w:rsidR="002F561A" w:rsidRPr="002F561A" w:rsidRDefault="002F561A" w:rsidP="002F561A">
      <w:pPr>
        <w:spacing w:after="0" w:line="240" w:lineRule="auto"/>
        <w:contextualSpacing/>
        <w:jc w:val="center"/>
        <w:rPr>
          <w:rFonts w:asciiTheme="majorHAnsi" w:eastAsiaTheme="majorEastAsia" w:hAnsiTheme="majorHAnsi" w:cstheme="majorBidi"/>
          <w:bCs/>
          <w:i/>
          <w:spacing w:val="-10"/>
          <w:kern w:val="28"/>
          <w:sz w:val="40"/>
          <w:szCs w:val="40"/>
          <w:lang w:eastAsia="zh-CN"/>
        </w:rPr>
      </w:pPr>
      <w:r w:rsidRPr="002F561A">
        <w:rPr>
          <w:rFonts w:asciiTheme="majorHAnsi" w:eastAsiaTheme="majorEastAsia" w:hAnsiTheme="majorHAnsi" w:cstheme="majorBidi"/>
          <w:bCs/>
          <w:i/>
          <w:spacing w:val="-10"/>
          <w:kern w:val="28"/>
          <w:sz w:val="40"/>
          <w:szCs w:val="40"/>
          <w:lang w:eastAsia="zh-CN"/>
        </w:rPr>
        <w:t>Work Instruction</w:t>
      </w:r>
    </w:p>
    <w:p w:rsidR="002F561A" w:rsidRPr="002F561A" w:rsidRDefault="002F561A" w:rsidP="002F561A">
      <w:pPr>
        <w:spacing w:after="200" w:line="276" w:lineRule="auto"/>
        <w:jc w:val="center"/>
        <w:rPr>
          <w:rFonts w:asciiTheme="minorBidi" w:eastAsiaTheme="minorEastAsia" w:hAnsiTheme="minorBidi"/>
          <w:b/>
          <w:bCs/>
          <w:i/>
          <w:iCs/>
          <w:sz w:val="24"/>
          <w:szCs w:val="24"/>
          <w:lang w:eastAsia="zh-CN"/>
        </w:rPr>
      </w:pPr>
    </w:p>
    <w:p w:rsidR="002F561A" w:rsidRPr="002F561A" w:rsidRDefault="002F561A" w:rsidP="002F561A">
      <w:pPr>
        <w:keepNext/>
        <w:keepLines/>
        <w:spacing w:before="240" w:after="0" w:line="276" w:lineRule="auto"/>
        <w:outlineLvl w:val="0"/>
        <w:rPr>
          <w:rFonts w:asciiTheme="majorHAnsi" w:eastAsiaTheme="majorEastAsia" w:hAnsiTheme="majorHAnsi" w:cstheme="majorBidi"/>
          <w:b/>
          <w:color w:val="000000" w:themeColor="text1"/>
          <w:sz w:val="28"/>
          <w:szCs w:val="32"/>
          <w:lang w:eastAsia="zh-CN"/>
        </w:rPr>
      </w:pPr>
      <w:r w:rsidRPr="002F561A">
        <w:rPr>
          <w:rFonts w:asciiTheme="majorHAnsi" w:eastAsiaTheme="majorEastAsia" w:hAnsiTheme="majorHAnsi" w:cstheme="majorBidi"/>
          <w:b/>
          <w:color w:val="000000" w:themeColor="text1"/>
          <w:sz w:val="28"/>
          <w:szCs w:val="32"/>
          <w:lang w:eastAsia="zh-CN"/>
        </w:rPr>
        <w:t>PURPOSE</w:t>
      </w: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This document provides instructions to managers when negotiating contracts for work to be undertaken. There are major legal consequences for incorrectly classifying someone as </w:t>
      </w:r>
      <w:r w:rsidRPr="002F561A">
        <w:rPr>
          <w:rFonts w:asciiTheme="minorBidi" w:eastAsiaTheme="minorEastAsia" w:hAnsiTheme="minorBidi"/>
          <w:i/>
          <w:lang w:eastAsia="zh-CN"/>
        </w:rPr>
        <w:t>independent contractor</w:t>
      </w:r>
      <w:r w:rsidRPr="002F561A">
        <w:rPr>
          <w:rFonts w:asciiTheme="minorBidi" w:eastAsiaTheme="minorEastAsia" w:hAnsiTheme="minorBidi"/>
          <w:lang w:eastAsia="zh-CN"/>
        </w:rPr>
        <w:t xml:space="preserve"> rather than an </w:t>
      </w:r>
      <w:r w:rsidRPr="002F561A">
        <w:rPr>
          <w:rFonts w:asciiTheme="minorBidi" w:eastAsiaTheme="minorEastAsia" w:hAnsiTheme="minorBidi"/>
          <w:i/>
          <w:lang w:eastAsia="zh-CN"/>
        </w:rPr>
        <w:t>employee</w:t>
      </w:r>
      <w:r w:rsidRPr="002F561A">
        <w:rPr>
          <w:rFonts w:asciiTheme="minorBidi" w:eastAsiaTheme="minorEastAsia" w:hAnsiTheme="minorBidi"/>
          <w:lang w:eastAsia="zh-CN"/>
        </w:rPr>
        <w:t xml:space="preserve">. </w:t>
      </w:r>
    </w:p>
    <w:p w:rsidR="002F561A" w:rsidRPr="002F561A" w:rsidRDefault="002F561A" w:rsidP="002F561A">
      <w:pPr>
        <w:keepNext/>
        <w:keepLines/>
        <w:spacing w:before="240" w:after="0" w:line="276" w:lineRule="auto"/>
        <w:outlineLvl w:val="0"/>
        <w:rPr>
          <w:rFonts w:asciiTheme="majorHAnsi" w:eastAsiaTheme="majorEastAsia" w:hAnsiTheme="majorHAnsi" w:cstheme="majorBidi"/>
          <w:b/>
          <w:color w:val="000000" w:themeColor="text1"/>
          <w:sz w:val="28"/>
          <w:szCs w:val="32"/>
          <w:lang w:eastAsia="zh-CN"/>
        </w:rPr>
      </w:pPr>
      <w:r w:rsidRPr="002F561A">
        <w:rPr>
          <w:rFonts w:asciiTheme="majorHAnsi" w:eastAsiaTheme="majorEastAsia" w:hAnsiTheme="majorHAnsi" w:cstheme="majorBidi"/>
          <w:b/>
          <w:color w:val="000000" w:themeColor="text1"/>
          <w:sz w:val="28"/>
          <w:szCs w:val="32"/>
          <w:lang w:eastAsia="zh-CN"/>
        </w:rPr>
        <w:t xml:space="preserve">SCOPE &amp; RESPONSIBILITY </w:t>
      </w: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This applies to all managers preparing contracts with individual workers. It is the responsibility of contracting managers to comply with this procedure. </w:t>
      </w:r>
    </w:p>
    <w:p w:rsidR="002F561A" w:rsidRPr="002F561A" w:rsidRDefault="002F561A" w:rsidP="002F561A">
      <w:pPr>
        <w:keepNext/>
        <w:keepLines/>
        <w:spacing w:before="40" w:after="0" w:line="276" w:lineRule="auto"/>
        <w:outlineLvl w:val="1"/>
        <w:rPr>
          <w:rFonts w:asciiTheme="majorHAnsi" w:eastAsiaTheme="majorEastAsia" w:hAnsiTheme="majorHAnsi" w:cstheme="majorBidi"/>
          <w:b/>
          <w:color w:val="000000" w:themeColor="text1"/>
          <w:sz w:val="28"/>
          <w:szCs w:val="32"/>
          <w:lang w:eastAsia="zh-CN"/>
        </w:rPr>
      </w:pPr>
      <w:r w:rsidRPr="002F561A">
        <w:rPr>
          <w:rFonts w:asciiTheme="majorHAnsi" w:eastAsiaTheme="majorEastAsia" w:hAnsiTheme="majorHAnsi" w:cstheme="majorBidi"/>
          <w:b/>
          <w:color w:val="000000" w:themeColor="text1"/>
          <w:sz w:val="28"/>
          <w:szCs w:val="32"/>
          <w:lang w:eastAsia="zh-CN"/>
        </w:rPr>
        <w:t>BACKGROUND &amp; RATIONALE</w:t>
      </w: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In </w:t>
      </w:r>
      <w:proofErr w:type="spellStart"/>
      <w:r w:rsidRPr="002F561A">
        <w:rPr>
          <w:rFonts w:asciiTheme="minorBidi" w:eastAsiaTheme="minorEastAsia" w:hAnsiTheme="minorBidi"/>
          <w:i/>
          <w:lang w:eastAsia="zh-CN"/>
        </w:rPr>
        <w:t>Adballa</w:t>
      </w:r>
      <w:proofErr w:type="spellEnd"/>
      <w:r w:rsidRPr="002F561A">
        <w:rPr>
          <w:rFonts w:asciiTheme="minorBidi" w:eastAsiaTheme="minorEastAsia" w:hAnsiTheme="minorBidi"/>
          <w:i/>
          <w:lang w:eastAsia="zh-CN"/>
        </w:rPr>
        <w:t xml:space="preserve"> v </w:t>
      </w:r>
      <w:proofErr w:type="spellStart"/>
      <w:r w:rsidRPr="002F561A">
        <w:rPr>
          <w:rFonts w:asciiTheme="minorBidi" w:eastAsiaTheme="minorEastAsia" w:hAnsiTheme="minorBidi"/>
          <w:i/>
          <w:lang w:eastAsia="zh-CN"/>
        </w:rPr>
        <w:t>Viewdaze</w:t>
      </w:r>
      <w:proofErr w:type="spellEnd"/>
      <w:r w:rsidRPr="002F561A">
        <w:rPr>
          <w:rFonts w:asciiTheme="minorBidi" w:eastAsiaTheme="minorEastAsia" w:hAnsiTheme="minorBidi"/>
          <w:i/>
          <w:lang w:eastAsia="zh-CN"/>
        </w:rPr>
        <w:t xml:space="preserve"> Pty Ltd</w:t>
      </w:r>
      <w:r w:rsidRPr="002F561A">
        <w:rPr>
          <w:rFonts w:asciiTheme="minorBidi" w:eastAsiaTheme="minorEastAsia" w:hAnsiTheme="minorBidi"/>
          <w:lang w:eastAsia="zh-CN"/>
        </w:rPr>
        <w:t xml:space="preserve"> (2003) 122 IR 215, the court considered various indicia including the degree of control, supply of equipment, hours of work, leave and free to work for others. Although there might be visible factors of an independent contractor, experiencing significant degree of control over work can overrule this, resulting in the individual being classified as an </w:t>
      </w:r>
      <w:r w:rsidRPr="002F561A">
        <w:rPr>
          <w:rFonts w:asciiTheme="minorBidi" w:eastAsiaTheme="minorEastAsia" w:hAnsiTheme="minorBidi"/>
          <w:i/>
          <w:lang w:eastAsia="zh-CN"/>
        </w:rPr>
        <w:t>employee</w:t>
      </w:r>
      <w:r w:rsidRPr="002F561A">
        <w:rPr>
          <w:rFonts w:asciiTheme="minorBidi" w:eastAsiaTheme="minorEastAsia" w:hAnsiTheme="minorBidi"/>
          <w:lang w:eastAsia="zh-CN"/>
        </w:rPr>
        <w:t xml:space="preserve"> (</w:t>
      </w:r>
      <w:proofErr w:type="spellStart"/>
      <w:r w:rsidRPr="002F561A">
        <w:rPr>
          <w:rFonts w:asciiTheme="minorBidi" w:eastAsiaTheme="minorEastAsia" w:hAnsiTheme="minorBidi"/>
          <w:i/>
          <w:lang w:eastAsia="zh-CN"/>
        </w:rPr>
        <w:t>Sammartino</w:t>
      </w:r>
      <w:proofErr w:type="spellEnd"/>
      <w:r w:rsidRPr="002F561A">
        <w:rPr>
          <w:rFonts w:asciiTheme="minorBidi" w:eastAsiaTheme="minorEastAsia" w:hAnsiTheme="minorBidi"/>
          <w:i/>
          <w:lang w:eastAsia="zh-CN"/>
        </w:rPr>
        <w:t xml:space="preserve"> v Mayne </w:t>
      </w:r>
      <w:proofErr w:type="spellStart"/>
      <w:r w:rsidRPr="002F561A">
        <w:rPr>
          <w:rFonts w:asciiTheme="minorBidi" w:eastAsiaTheme="minorEastAsia" w:hAnsiTheme="minorBidi"/>
          <w:i/>
          <w:lang w:eastAsia="zh-CN"/>
        </w:rPr>
        <w:t>Nickless</w:t>
      </w:r>
      <w:proofErr w:type="spellEnd"/>
      <w:r w:rsidRPr="002F561A">
        <w:rPr>
          <w:rFonts w:asciiTheme="minorBidi" w:eastAsiaTheme="minorEastAsia" w:hAnsiTheme="minorBidi"/>
          <w:lang w:eastAsia="zh-CN"/>
        </w:rPr>
        <w:t xml:space="preserve"> (2000) 98 IR 168).     </w:t>
      </w:r>
    </w:p>
    <w:p w:rsidR="002F561A" w:rsidRPr="002F561A" w:rsidRDefault="002F561A" w:rsidP="002F561A">
      <w:pPr>
        <w:spacing w:after="200" w:line="276" w:lineRule="auto"/>
        <w:rPr>
          <w:rFonts w:asciiTheme="majorHAnsi" w:eastAsiaTheme="majorEastAsia" w:hAnsiTheme="majorHAnsi" w:cstheme="majorBidi"/>
          <w:b/>
          <w:color w:val="000000" w:themeColor="text1"/>
          <w:sz w:val="28"/>
          <w:szCs w:val="32"/>
          <w:lang w:eastAsia="zh-CN"/>
        </w:rPr>
      </w:pPr>
      <w:r w:rsidRPr="002F561A">
        <w:rPr>
          <w:rFonts w:asciiTheme="majorHAnsi" w:eastAsiaTheme="majorEastAsia" w:hAnsiTheme="majorHAnsi" w:cstheme="majorBidi"/>
          <w:b/>
          <w:color w:val="000000" w:themeColor="text1"/>
          <w:sz w:val="28"/>
          <w:szCs w:val="32"/>
          <w:lang w:eastAsia="zh-CN"/>
        </w:rPr>
        <w:t>INSTRUCTIONS</w:t>
      </w: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It is recommended that managers review the following indicia to make a determination about how to classify workers.</w:t>
      </w: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Indicators of an </w:t>
      </w:r>
      <w:r w:rsidRPr="002F561A">
        <w:rPr>
          <w:rFonts w:asciiTheme="minorBidi" w:eastAsiaTheme="minorEastAsia" w:hAnsiTheme="minorBidi"/>
          <w:i/>
          <w:iCs/>
          <w:lang w:eastAsia="zh-CN"/>
        </w:rPr>
        <w:t>employee relationship (</w:t>
      </w:r>
      <w:r w:rsidRPr="002F561A">
        <w:rPr>
          <w:rFonts w:asciiTheme="minorBidi" w:eastAsiaTheme="minorEastAsia" w:hAnsiTheme="minorBidi"/>
          <w:lang w:eastAsia="zh-CN"/>
        </w:rPr>
        <w:t>Fair Work Ombudsman 2017</w:t>
      </w:r>
      <w:r w:rsidRPr="002F561A">
        <w:rPr>
          <w:rFonts w:asciiTheme="minorBidi" w:eastAsiaTheme="minorEastAsia" w:hAnsiTheme="minorBidi"/>
          <w:i/>
          <w:iCs/>
          <w:lang w:eastAsia="zh-CN"/>
        </w:rPr>
        <w:t>):</w:t>
      </w:r>
    </w:p>
    <w:p w:rsidR="002F561A" w:rsidRPr="002F561A" w:rsidRDefault="002F561A" w:rsidP="002F561A">
      <w:pPr>
        <w:numPr>
          <w:ilvl w:val="0"/>
          <w:numId w:val="1"/>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have their work directed and controlled by their employer</w:t>
      </w:r>
    </w:p>
    <w:p w:rsidR="002F561A" w:rsidRPr="002F561A" w:rsidRDefault="002F561A" w:rsidP="002F561A">
      <w:pPr>
        <w:numPr>
          <w:ilvl w:val="0"/>
          <w:numId w:val="1"/>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work set or standard hours (casual employees hours can vary from week to week)</w:t>
      </w:r>
    </w:p>
    <w:p w:rsidR="002F561A" w:rsidRPr="002F561A" w:rsidRDefault="002F561A" w:rsidP="002F561A">
      <w:pPr>
        <w:numPr>
          <w:ilvl w:val="0"/>
          <w:numId w:val="1"/>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usually have an ongoing expectation of work</w:t>
      </w:r>
    </w:p>
    <w:p w:rsidR="002F561A" w:rsidRPr="002F561A" w:rsidRDefault="002F561A" w:rsidP="002F561A">
      <w:pPr>
        <w:numPr>
          <w:ilvl w:val="0"/>
          <w:numId w:val="1"/>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bear no financial risk – covered by their employer’s insurance</w:t>
      </w:r>
    </w:p>
    <w:p w:rsidR="002F561A" w:rsidRPr="002F561A" w:rsidRDefault="002F561A" w:rsidP="002F561A">
      <w:pPr>
        <w:numPr>
          <w:ilvl w:val="0"/>
          <w:numId w:val="1"/>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are provided by their employer with tools or a tool allowance is provided</w:t>
      </w:r>
    </w:p>
    <w:p w:rsidR="002F561A" w:rsidRPr="002F561A" w:rsidRDefault="002F561A" w:rsidP="002F561A">
      <w:pPr>
        <w:numPr>
          <w:ilvl w:val="0"/>
          <w:numId w:val="1"/>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are paid wages or a salary regularly</w:t>
      </w:r>
    </w:p>
    <w:p w:rsidR="002F561A" w:rsidRPr="002F561A" w:rsidRDefault="002F561A" w:rsidP="002F561A">
      <w:pPr>
        <w:spacing w:after="0" w:line="240" w:lineRule="auto"/>
        <w:rPr>
          <w:rFonts w:asciiTheme="minorBidi" w:eastAsiaTheme="minorEastAsia" w:hAnsiTheme="minorBidi"/>
          <w:lang w:eastAsia="zh-CN"/>
        </w:rPr>
      </w:pPr>
    </w:p>
    <w:p w:rsidR="002F561A" w:rsidRPr="002F561A" w:rsidRDefault="002F561A" w:rsidP="002F561A">
      <w:p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 xml:space="preserve">Factors indicative of an </w:t>
      </w:r>
      <w:r w:rsidRPr="002F561A">
        <w:rPr>
          <w:rFonts w:asciiTheme="minorBidi" w:eastAsiaTheme="minorEastAsia" w:hAnsiTheme="minorBidi"/>
          <w:i/>
          <w:iCs/>
          <w:lang w:eastAsia="zh-CN"/>
        </w:rPr>
        <w:t>independent contractor (</w:t>
      </w:r>
      <w:r w:rsidRPr="002F561A">
        <w:rPr>
          <w:rFonts w:asciiTheme="minorBidi" w:eastAsiaTheme="minorEastAsia" w:hAnsiTheme="minorBidi"/>
          <w:lang w:eastAsia="zh-CN"/>
        </w:rPr>
        <w:t>Fair Work Ombudsman 2017</w:t>
      </w:r>
      <w:r w:rsidRPr="002F561A">
        <w:rPr>
          <w:rFonts w:asciiTheme="minorBidi" w:eastAsiaTheme="minorEastAsia" w:hAnsiTheme="minorBidi"/>
          <w:i/>
          <w:iCs/>
          <w:lang w:eastAsia="zh-CN"/>
        </w:rPr>
        <w:t>)</w:t>
      </w:r>
      <w:r w:rsidRPr="002F561A">
        <w:rPr>
          <w:rFonts w:asciiTheme="minorBidi" w:eastAsiaTheme="minorEastAsia" w:hAnsiTheme="minorBidi"/>
          <w:lang w:eastAsia="zh-CN"/>
        </w:rPr>
        <w:t>:</w:t>
      </w:r>
    </w:p>
    <w:p w:rsidR="002F561A" w:rsidRPr="002F561A" w:rsidRDefault="002F561A" w:rsidP="002F561A">
      <w:pPr>
        <w:spacing w:after="0" w:line="240" w:lineRule="auto"/>
        <w:rPr>
          <w:rFonts w:asciiTheme="minorBidi" w:eastAsiaTheme="minorEastAsia" w:hAnsiTheme="minorBidi"/>
          <w:lang w:eastAsia="zh-CN"/>
        </w:rPr>
      </w:pPr>
    </w:p>
    <w:p w:rsidR="002F561A" w:rsidRPr="002F561A" w:rsidRDefault="002F561A" w:rsidP="002F561A">
      <w:pPr>
        <w:numPr>
          <w:ilvl w:val="0"/>
          <w:numId w:val="2"/>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have a high level of control over how the work is done, including the choice to hire others to assist</w:t>
      </w:r>
    </w:p>
    <w:p w:rsidR="002F561A" w:rsidRPr="002F561A" w:rsidRDefault="002F561A" w:rsidP="002F561A">
      <w:pPr>
        <w:numPr>
          <w:ilvl w:val="0"/>
          <w:numId w:val="2"/>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agree to the hours required to complete the job</w:t>
      </w:r>
    </w:p>
    <w:p w:rsidR="002F561A" w:rsidRPr="002F561A" w:rsidRDefault="002F561A" w:rsidP="002F561A">
      <w:pPr>
        <w:numPr>
          <w:ilvl w:val="0"/>
          <w:numId w:val="2"/>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usually engaged for a specific task or time</w:t>
      </w:r>
    </w:p>
    <w:p w:rsidR="002F561A" w:rsidRPr="002F561A" w:rsidRDefault="002F561A" w:rsidP="002F561A">
      <w:pPr>
        <w:numPr>
          <w:ilvl w:val="0"/>
          <w:numId w:val="2"/>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bear the risk of making a profit or a loss and usually bears responsibility and liability for poor work or injury and usually have their own insurance</w:t>
      </w:r>
    </w:p>
    <w:p w:rsidR="002F561A" w:rsidRPr="002F561A" w:rsidRDefault="002F561A" w:rsidP="002F561A">
      <w:pPr>
        <w:numPr>
          <w:ilvl w:val="0"/>
          <w:numId w:val="2"/>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use their own tools and equipment</w:t>
      </w:r>
    </w:p>
    <w:p w:rsidR="002F561A" w:rsidRPr="002F561A" w:rsidRDefault="002F561A" w:rsidP="002F561A">
      <w:pPr>
        <w:numPr>
          <w:ilvl w:val="0"/>
          <w:numId w:val="2"/>
        </w:numPr>
        <w:spacing w:after="0" w:line="240" w:lineRule="auto"/>
        <w:rPr>
          <w:rFonts w:asciiTheme="minorBidi" w:eastAsiaTheme="minorEastAsia" w:hAnsiTheme="minorBidi"/>
          <w:lang w:eastAsia="zh-CN"/>
        </w:rPr>
      </w:pPr>
      <w:r w:rsidRPr="002F561A">
        <w:rPr>
          <w:rFonts w:asciiTheme="minorBidi" w:eastAsiaTheme="minorEastAsia" w:hAnsiTheme="minorBidi"/>
          <w:lang w:eastAsia="zh-CN"/>
        </w:rPr>
        <w:t>have an ABN and submits invoices</w:t>
      </w:r>
    </w:p>
    <w:p w:rsidR="002F561A" w:rsidRPr="002F561A" w:rsidRDefault="002F561A" w:rsidP="002F561A">
      <w:pPr>
        <w:spacing w:after="0" w:line="240" w:lineRule="auto"/>
        <w:ind w:left="720"/>
        <w:rPr>
          <w:rFonts w:asciiTheme="minorBidi" w:eastAsiaTheme="minorEastAsia" w:hAnsiTheme="minorBidi"/>
          <w:lang w:eastAsia="zh-CN"/>
        </w:rPr>
      </w:pP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As a result of being an </w:t>
      </w:r>
      <w:r w:rsidRPr="002F561A">
        <w:rPr>
          <w:rFonts w:asciiTheme="minorBidi" w:eastAsiaTheme="minorEastAsia" w:hAnsiTheme="minorBidi"/>
          <w:i/>
          <w:lang w:eastAsia="zh-CN"/>
        </w:rPr>
        <w:t>employee</w:t>
      </w:r>
      <w:r w:rsidRPr="002F561A">
        <w:rPr>
          <w:rFonts w:asciiTheme="minorBidi" w:eastAsiaTheme="minorEastAsia" w:hAnsiTheme="minorBidi"/>
          <w:lang w:eastAsia="zh-CN"/>
        </w:rPr>
        <w:t>, the individual is entitled to the following legal benefits:</w:t>
      </w:r>
    </w:p>
    <w:p w:rsidR="002F561A" w:rsidRPr="002F561A" w:rsidRDefault="002F561A" w:rsidP="002F561A">
      <w:pPr>
        <w:numPr>
          <w:ilvl w:val="0"/>
          <w:numId w:val="3"/>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National Employment Standards: minimum wage rates, flexible working arrangements, paid leave entitlements, hours of work, breaks (</w:t>
      </w:r>
      <w:r w:rsidRPr="002F561A">
        <w:rPr>
          <w:rFonts w:asciiTheme="minorBidi" w:eastAsiaTheme="minorEastAsia" w:hAnsiTheme="minorBidi"/>
          <w:i/>
          <w:iCs/>
          <w:lang w:eastAsia="zh-CN"/>
        </w:rPr>
        <w:t xml:space="preserve">Fair Work Act 2009, </w:t>
      </w:r>
      <w:proofErr w:type="spellStart"/>
      <w:r w:rsidRPr="002F561A">
        <w:rPr>
          <w:rFonts w:asciiTheme="minorBidi" w:eastAsiaTheme="minorEastAsia" w:hAnsiTheme="minorBidi"/>
          <w:i/>
          <w:iCs/>
          <w:lang w:eastAsia="zh-CN"/>
        </w:rPr>
        <w:t>Cth</w:t>
      </w:r>
      <w:proofErr w:type="spellEnd"/>
      <w:r w:rsidRPr="002F561A">
        <w:rPr>
          <w:rFonts w:asciiTheme="minorBidi" w:eastAsiaTheme="minorEastAsia" w:hAnsiTheme="minorBidi"/>
          <w:i/>
          <w:iCs/>
          <w:lang w:eastAsia="zh-CN"/>
        </w:rPr>
        <w:t xml:space="preserve"> s61</w:t>
      </w:r>
      <w:r w:rsidRPr="002F561A">
        <w:rPr>
          <w:rFonts w:asciiTheme="minorBidi" w:eastAsiaTheme="minorEastAsia" w:hAnsiTheme="minorBidi"/>
          <w:lang w:eastAsia="zh-CN"/>
        </w:rPr>
        <w:t xml:space="preserve">)        </w:t>
      </w:r>
    </w:p>
    <w:p w:rsidR="002F561A" w:rsidRPr="002F561A" w:rsidRDefault="002F561A" w:rsidP="002F561A">
      <w:pPr>
        <w:numPr>
          <w:ilvl w:val="0"/>
          <w:numId w:val="3"/>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lastRenderedPageBreak/>
        <w:t>Workers Compensation (</w:t>
      </w:r>
      <w:r w:rsidRPr="002F561A">
        <w:rPr>
          <w:rFonts w:asciiTheme="minorBidi" w:eastAsiaTheme="minorEastAsia" w:hAnsiTheme="minorBidi"/>
          <w:i/>
          <w:iCs/>
          <w:lang w:eastAsia="zh-CN"/>
        </w:rPr>
        <w:t>Return to Work Act 2014, SA</w:t>
      </w:r>
      <w:r w:rsidRPr="002F561A">
        <w:rPr>
          <w:rFonts w:asciiTheme="minorBidi" w:eastAsiaTheme="minorEastAsia" w:hAnsiTheme="minorBidi"/>
          <w:lang w:eastAsia="zh-CN"/>
        </w:rPr>
        <w:t xml:space="preserve">)                </w:t>
      </w:r>
    </w:p>
    <w:p w:rsidR="002F561A" w:rsidRPr="002F561A" w:rsidRDefault="002F561A" w:rsidP="002F561A">
      <w:pPr>
        <w:numPr>
          <w:ilvl w:val="0"/>
          <w:numId w:val="3"/>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Notice of dismissal, rights regarding unfair dismissal (</w:t>
      </w:r>
      <w:r w:rsidRPr="002F561A">
        <w:rPr>
          <w:rFonts w:asciiTheme="minorBidi" w:eastAsiaTheme="minorEastAsia" w:hAnsiTheme="minorBidi"/>
          <w:i/>
          <w:lang w:eastAsia="zh-CN"/>
        </w:rPr>
        <w:t xml:space="preserve">Fair Work Act 2009, </w:t>
      </w:r>
      <w:proofErr w:type="spellStart"/>
      <w:r w:rsidRPr="002F561A">
        <w:rPr>
          <w:rFonts w:asciiTheme="minorBidi" w:eastAsiaTheme="minorEastAsia" w:hAnsiTheme="minorBidi"/>
          <w:i/>
          <w:lang w:eastAsia="zh-CN"/>
        </w:rPr>
        <w:t>Cth</w:t>
      </w:r>
      <w:proofErr w:type="spellEnd"/>
      <w:r w:rsidRPr="002F561A">
        <w:rPr>
          <w:rFonts w:asciiTheme="minorBidi" w:eastAsiaTheme="minorEastAsia" w:hAnsiTheme="minorBidi"/>
          <w:lang w:eastAsia="zh-CN"/>
        </w:rPr>
        <w:t>)</w:t>
      </w:r>
    </w:p>
    <w:p w:rsidR="002F561A" w:rsidRPr="002F561A" w:rsidRDefault="002F561A" w:rsidP="002F561A">
      <w:pPr>
        <w:numPr>
          <w:ilvl w:val="0"/>
          <w:numId w:val="3"/>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Workplace rights: discrimination and industrial activities (</w:t>
      </w:r>
      <w:r w:rsidRPr="002F561A">
        <w:rPr>
          <w:rFonts w:asciiTheme="minorBidi" w:eastAsiaTheme="minorEastAsia" w:hAnsiTheme="minorBidi"/>
          <w:i/>
          <w:lang w:eastAsia="zh-CN"/>
        </w:rPr>
        <w:t xml:space="preserve">Fair Work Act 2009, </w:t>
      </w:r>
      <w:proofErr w:type="spellStart"/>
      <w:r w:rsidRPr="002F561A">
        <w:rPr>
          <w:rFonts w:asciiTheme="minorBidi" w:eastAsiaTheme="minorEastAsia" w:hAnsiTheme="minorBidi"/>
          <w:i/>
          <w:lang w:eastAsia="zh-CN"/>
        </w:rPr>
        <w:t>Cth</w:t>
      </w:r>
      <w:proofErr w:type="spellEnd"/>
      <w:r w:rsidRPr="002F561A">
        <w:rPr>
          <w:rFonts w:asciiTheme="minorBidi" w:eastAsiaTheme="minorEastAsia" w:hAnsiTheme="minorBidi"/>
          <w:lang w:eastAsia="zh-CN"/>
        </w:rPr>
        <w:t>)</w:t>
      </w:r>
    </w:p>
    <w:p w:rsidR="002F561A" w:rsidRPr="002F561A" w:rsidRDefault="002F561A" w:rsidP="002F561A">
      <w:pPr>
        <w:numPr>
          <w:ilvl w:val="0"/>
          <w:numId w:val="3"/>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Taxation arrangements via PAYG</w:t>
      </w:r>
    </w:p>
    <w:p w:rsidR="002F561A" w:rsidRPr="002F561A" w:rsidRDefault="002F561A" w:rsidP="002F561A">
      <w:pPr>
        <w:numPr>
          <w:ilvl w:val="0"/>
          <w:numId w:val="3"/>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Superannuation (</w:t>
      </w:r>
      <w:r w:rsidRPr="002F561A">
        <w:rPr>
          <w:rFonts w:asciiTheme="minorBidi" w:eastAsiaTheme="minorEastAsia" w:hAnsiTheme="minorBidi"/>
          <w:i/>
          <w:iCs/>
          <w:lang w:eastAsia="zh-CN"/>
        </w:rPr>
        <w:t>Superannuation Act 1988</w:t>
      </w:r>
      <w:r w:rsidRPr="002F561A">
        <w:rPr>
          <w:rFonts w:asciiTheme="minorBidi" w:eastAsiaTheme="minorEastAsia" w:hAnsiTheme="minorBidi"/>
          <w:lang w:eastAsia="zh-CN"/>
        </w:rPr>
        <w:t xml:space="preserve">)  </w:t>
      </w:r>
    </w:p>
    <w:p w:rsidR="002F561A" w:rsidRPr="002F561A" w:rsidRDefault="002F561A" w:rsidP="002F561A">
      <w:pPr>
        <w:numPr>
          <w:ilvl w:val="0"/>
          <w:numId w:val="3"/>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 xml:space="preserve">An employer is vicariously liable for acts of an </w:t>
      </w:r>
      <w:r w:rsidRPr="002F561A">
        <w:rPr>
          <w:rFonts w:asciiTheme="minorBidi" w:eastAsiaTheme="minorEastAsia" w:hAnsiTheme="minorBidi"/>
          <w:i/>
          <w:lang w:eastAsia="zh-CN"/>
        </w:rPr>
        <w:t xml:space="preserve">employee </w:t>
      </w:r>
      <w:r w:rsidRPr="002F561A">
        <w:rPr>
          <w:rFonts w:asciiTheme="minorBidi" w:eastAsiaTheme="minorEastAsia" w:hAnsiTheme="minorBidi"/>
          <w:lang w:eastAsia="zh-CN"/>
        </w:rPr>
        <w:t>(</w:t>
      </w:r>
      <w:r w:rsidRPr="002F561A">
        <w:rPr>
          <w:rFonts w:asciiTheme="minorBidi" w:eastAsiaTheme="minorEastAsia" w:hAnsiTheme="minorBidi"/>
          <w:lang w:val="en" w:eastAsia="zh-CN"/>
        </w:rPr>
        <w:t xml:space="preserve">Van der </w:t>
      </w:r>
      <w:proofErr w:type="spellStart"/>
      <w:r w:rsidRPr="002F561A">
        <w:rPr>
          <w:rFonts w:asciiTheme="minorBidi" w:eastAsiaTheme="minorEastAsia" w:hAnsiTheme="minorBidi"/>
          <w:lang w:val="en" w:eastAsia="zh-CN"/>
        </w:rPr>
        <w:t>Waarden</w:t>
      </w:r>
      <w:proofErr w:type="spellEnd"/>
      <w:r w:rsidRPr="002F561A">
        <w:rPr>
          <w:rFonts w:asciiTheme="minorBidi" w:eastAsiaTheme="minorEastAsia" w:hAnsiTheme="minorBidi"/>
          <w:lang w:val="en" w:eastAsia="zh-CN"/>
        </w:rPr>
        <w:t xml:space="preserve"> 2014, p. 12), this liability does not extend to </w:t>
      </w:r>
      <w:r w:rsidRPr="002F561A">
        <w:rPr>
          <w:rFonts w:asciiTheme="minorBidi" w:eastAsiaTheme="minorEastAsia" w:hAnsiTheme="minorBidi"/>
          <w:i/>
          <w:lang w:val="en" w:eastAsia="zh-CN"/>
        </w:rPr>
        <w:t>independent contractors,</w:t>
      </w:r>
      <w:r w:rsidRPr="002F561A">
        <w:rPr>
          <w:rFonts w:asciiTheme="minorBidi" w:eastAsiaTheme="minorEastAsia" w:hAnsiTheme="minorBidi"/>
          <w:lang w:val="en" w:eastAsia="zh-CN"/>
        </w:rPr>
        <w:t xml:space="preserve"> who are responsible for their own negligence (</w:t>
      </w:r>
      <w:r w:rsidRPr="002F561A">
        <w:rPr>
          <w:rFonts w:asciiTheme="minorBidi" w:eastAsiaTheme="minorEastAsia" w:hAnsiTheme="minorBidi"/>
          <w:i/>
          <w:iCs/>
          <w:lang w:val="en" w:eastAsia="zh-CN"/>
        </w:rPr>
        <w:t>Sweeny v Boylan Nominees</w:t>
      </w:r>
      <w:r w:rsidRPr="002F561A">
        <w:rPr>
          <w:rFonts w:asciiTheme="minorBidi" w:eastAsiaTheme="minorEastAsia" w:hAnsiTheme="minorBidi"/>
          <w:lang w:val="en" w:eastAsia="zh-CN"/>
        </w:rPr>
        <w:t xml:space="preserve"> (2006) 226 CLR 161).    </w:t>
      </w:r>
      <w:r w:rsidRPr="002F561A">
        <w:rPr>
          <w:rFonts w:asciiTheme="minorBidi" w:eastAsiaTheme="minorEastAsia" w:hAnsiTheme="minorBidi"/>
          <w:lang w:eastAsia="zh-CN"/>
        </w:rPr>
        <w:t xml:space="preserve">   </w:t>
      </w:r>
    </w:p>
    <w:p w:rsidR="002F561A" w:rsidRPr="002F561A" w:rsidRDefault="002F561A" w:rsidP="002F561A">
      <w:pPr>
        <w:spacing w:after="200" w:line="276" w:lineRule="auto"/>
        <w:ind w:left="720"/>
        <w:contextualSpacing/>
        <w:rPr>
          <w:rFonts w:asciiTheme="minorBidi" w:eastAsiaTheme="minorEastAsia" w:hAnsiTheme="minorBidi"/>
          <w:lang w:eastAsia="zh-CN"/>
        </w:rPr>
      </w:pP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As </w:t>
      </w:r>
      <w:r w:rsidRPr="002F561A">
        <w:rPr>
          <w:rFonts w:asciiTheme="minorBidi" w:eastAsiaTheme="minorEastAsia" w:hAnsiTheme="minorBidi"/>
          <w:i/>
          <w:lang w:eastAsia="zh-CN"/>
        </w:rPr>
        <w:t>independent contractors</w:t>
      </w:r>
      <w:r w:rsidRPr="002F561A">
        <w:rPr>
          <w:rFonts w:asciiTheme="minorBidi" w:eastAsiaTheme="minorEastAsia" w:hAnsiTheme="minorBidi"/>
          <w:lang w:eastAsia="zh-CN"/>
        </w:rPr>
        <w:t xml:space="preserve"> aren’t employees, they:</w:t>
      </w:r>
    </w:p>
    <w:p w:rsidR="002F561A" w:rsidRPr="002F561A" w:rsidRDefault="002F561A" w:rsidP="002F561A">
      <w:pPr>
        <w:numPr>
          <w:ilvl w:val="0"/>
          <w:numId w:val="4"/>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Organise their own tax, GST and superannuation and will likely invoice for work</w:t>
      </w:r>
    </w:p>
    <w:p w:rsidR="002F561A" w:rsidRPr="002F561A" w:rsidRDefault="002F561A" w:rsidP="002F561A">
      <w:pPr>
        <w:numPr>
          <w:ilvl w:val="0"/>
          <w:numId w:val="4"/>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Don’t have employee protections (</w:t>
      </w:r>
      <w:proofErr w:type="spellStart"/>
      <w:r w:rsidRPr="002F561A">
        <w:rPr>
          <w:rFonts w:asciiTheme="minorBidi" w:eastAsiaTheme="minorEastAsia" w:hAnsiTheme="minorBidi"/>
          <w:lang w:eastAsia="zh-CN"/>
        </w:rPr>
        <w:t>eg</w:t>
      </w:r>
      <w:proofErr w:type="spellEnd"/>
      <w:r w:rsidRPr="002F561A">
        <w:rPr>
          <w:rFonts w:asciiTheme="minorBidi" w:eastAsiaTheme="minorEastAsia" w:hAnsiTheme="minorBidi"/>
          <w:lang w:eastAsia="zh-CN"/>
        </w:rPr>
        <w:t xml:space="preserve"> minimum wage, unfair dismissal, leave entitlements), but are protected from adverse action, under the </w:t>
      </w:r>
      <w:r w:rsidRPr="002F561A">
        <w:rPr>
          <w:rFonts w:asciiTheme="minorBidi" w:eastAsiaTheme="minorEastAsia" w:hAnsiTheme="minorBidi"/>
          <w:i/>
          <w:iCs/>
          <w:lang w:eastAsia="zh-CN"/>
        </w:rPr>
        <w:t>Fair Work Act 2009 (</w:t>
      </w:r>
      <w:proofErr w:type="spellStart"/>
      <w:r w:rsidRPr="002F561A">
        <w:rPr>
          <w:rFonts w:asciiTheme="minorBidi" w:eastAsiaTheme="minorEastAsia" w:hAnsiTheme="minorBidi"/>
          <w:i/>
          <w:iCs/>
          <w:lang w:eastAsia="zh-CN"/>
        </w:rPr>
        <w:t>Cth</w:t>
      </w:r>
      <w:proofErr w:type="spellEnd"/>
      <w:r w:rsidRPr="002F561A">
        <w:rPr>
          <w:rFonts w:asciiTheme="minorBidi" w:eastAsiaTheme="minorEastAsia" w:hAnsiTheme="minorBidi"/>
          <w:i/>
          <w:iCs/>
          <w:lang w:eastAsia="zh-CN"/>
        </w:rPr>
        <w:t>)</w:t>
      </w:r>
    </w:p>
    <w:p w:rsidR="002F561A" w:rsidRPr="002F561A" w:rsidRDefault="002F561A" w:rsidP="002F561A">
      <w:pPr>
        <w:numPr>
          <w:ilvl w:val="0"/>
          <w:numId w:val="4"/>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iCs/>
          <w:lang w:eastAsia="zh-CN"/>
        </w:rPr>
        <w:t>We still have obligations under the Work Health and Safety Act, 2012, (SA)</w:t>
      </w:r>
    </w:p>
    <w:p w:rsidR="002F561A" w:rsidRPr="002F561A" w:rsidRDefault="002F561A" w:rsidP="002F561A">
      <w:pPr>
        <w:numPr>
          <w:ilvl w:val="0"/>
          <w:numId w:val="4"/>
        </w:numPr>
        <w:spacing w:after="200" w:line="276" w:lineRule="auto"/>
        <w:contextualSpacing/>
        <w:rPr>
          <w:rFonts w:asciiTheme="minorBidi" w:eastAsiaTheme="minorEastAsia" w:hAnsiTheme="minorBidi"/>
          <w:lang w:eastAsia="zh-CN"/>
        </w:rPr>
      </w:pPr>
      <w:r w:rsidRPr="002F561A">
        <w:rPr>
          <w:rFonts w:asciiTheme="minorBidi" w:eastAsiaTheme="minorEastAsia" w:hAnsiTheme="minorBidi"/>
          <w:lang w:eastAsia="zh-CN"/>
        </w:rPr>
        <w:t>May be sued for negligence directly</w:t>
      </w:r>
    </w:p>
    <w:p w:rsidR="002F561A" w:rsidRPr="002F561A" w:rsidRDefault="002F561A" w:rsidP="002F561A">
      <w:pPr>
        <w:keepNext/>
        <w:keepLines/>
        <w:spacing w:before="240" w:after="0" w:line="276" w:lineRule="auto"/>
        <w:outlineLvl w:val="0"/>
        <w:rPr>
          <w:rFonts w:asciiTheme="majorHAnsi" w:eastAsiaTheme="majorEastAsia" w:hAnsiTheme="majorHAnsi" w:cstheme="majorBidi"/>
          <w:b/>
          <w:color w:val="000000" w:themeColor="text1"/>
          <w:sz w:val="28"/>
          <w:szCs w:val="32"/>
          <w:lang w:eastAsia="zh-CN"/>
        </w:rPr>
      </w:pPr>
    </w:p>
    <w:p w:rsidR="002F561A" w:rsidRPr="002F561A" w:rsidRDefault="002F561A" w:rsidP="002F561A">
      <w:pPr>
        <w:keepNext/>
        <w:keepLines/>
        <w:spacing w:before="240" w:after="0" w:line="276" w:lineRule="auto"/>
        <w:outlineLvl w:val="0"/>
        <w:rPr>
          <w:rFonts w:asciiTheme="majorHAnsi" w:eastAsiaTheme="majorEastAsia" w:hAnsiTheme="majorHAnsi" w:cstheme="majorBidi"/>
          <w:b/>
          <w:color w:val="000000" w:themeColor="text1"/>
          <w:sz w:val="28"/>
          <w:szCs w:val="32"/>
          <w:lang w:eastAsia="zh-CN"/>
        </w:rPr>
      </w:pPr>
      <w:r w:rsidRPr="002F561A">
        <w:rPr>
          <w:rFonts w:asciiTheme="majorHAnsi" w:eastAsiaTheme="majorEastAsia" w:hAnsiTheme="majorHAnsi" w:cstheme="majorBidi"/>
          <w:b/>
          <w:color w:val="000000" w:themeColor="text1"/>
          <w:sz w:val="28"/>
          <w:szCs w:val="32"/>
          <w:lang w:eastAsia="zh-CN"/>
        </w:rPr>
        <w:t>LEGAL CONSEQUENCES</w:t>
      </w: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Under section 357 of </w:t>
      </w:r>
      <w:r w:rsidRPr="002F561A">
        <w:rPr>
          <w:rFonts w:asciiTheme="minorBidi" w:eastAsiaTheme="minorEastAsia" w:hAnsiTheme="minorBidi"/>
          <w:i/>
          <w:lang w:eastAsia="zh-CN"/>
        </w:rPr>
        <w:t>Fair Work Act 2009</w:t>
      </w:r>
      <w:r w:rsidRPr="002F561A">
        <w:rPr>
          <w:rFonts w:asciiTheme="minorBidi" w:eastAsiaTheme="minorEastAsia" w:hAnsiTheme="minorBidi"/>
          <w:lang w:eastAsia="zh-CN"/>
        </w:rPr>
        <w:t xml:space="preserve">, sham involves misrepresentation of employment as independent contracting arrangement. In </w:t>
      </w:r>
      <w:r w:rsidRPr="002F561A">
        <w:rPr>
          <w:rFonts w:asciiTheme="minorBidi" w:eastAsiaTheme="minorEastAsia" w:hAnsiTheme="minorBidi"/>
          <w:i/>
          <w:lang w:eastAsia="zh-CN"/>
        </w:rPr>
        <w:t>Fair Work Ombudsman v Happy Cabby Pty Ltd &amp; Anor</w:t>
      </w:r>
      <w:r w:rsidRPr="002F561A">
        <w:rPr>
          <w:rFonts w:asciiTheme="minorBidi" w:eastAsiaTheme="minorEastAsia" w:hAnsiTheme="minorBidi"/>
          <w:lang w:eastAsia="zh-CN"/>
        </w:rPr>
        <w:t xml:space="preserve"> (2013) FCCA 397, issues of sham contracting and individuals being underpaid resulted in large financial penalties.     </w:t>
      </w:r>
    </w:p>
    <w:p w:rsidR="002F561A" w:rsidRPr="002F561A" w:rsidRDefault="002F561A" w:rsidP="002F561A">
      <w:pPr>
        <w:spacing w:after="200" w:line="276" w:lineRule="auto"/>
        <w:rPr>
          <w:rFonts w:asciiTheme="minorBidi" w:eastAsiaTheme="minorEastAsia" w:hAnsiTheme="minorBidi"/>
          <w:lang w:eastAsia="zh-CN"/>
        </w:rPr>
      </w:pPr>
      <w:r w:rsidRPr="002F561A">
        <w:rPr>
          <w:rFonts w:asciiTheme="minorBidi" w:eastAsiaTheme="minorEastAsia" w:hAnsiTheme="minorBidi"/>
          <w:lang w:eastAsia="zh-CN"/>
        </w:rPr>
        <w:t xml:space="preserve">Overall, likely consequences resulting from incorrect classifications are </w:t>
      </w:r>
      <w:r w:rsidR="00300389">
        <w:rPr>
          <w:rFonts w:asciiTheme="minorBidi" w:eastAsiaTheme="minorEastAsia" w:hAnsiTheme="minorBidi"/>
          <w:lang w:eastAsia="zh-CN"/>
        </w:rPr>
        <w:t xml:space="preserve">likely to include: back pay of </w:t>
      </w:r>
      <w:bookmarkStart w:id="0" w:name="_GoBack"/>
      <w:bookmarkEnd w:id="0"/>
      <w:r w:rsidRPr="002F561A">
        <w:rPr>
          <w:rFonts w:asciiTheme="minorBidi" w:eastAsiaTheme="minorEastAsia" w:hAnsiTheme="minorBidi"/>
          <w:lang w:eastAsia="zh-CN"/>
        </w:rPr>
        <w:t xml:space="preserve">wages with interest, taxation complications and other penalties.  </w:t>
      </w:r>
    </w:p>
    <w:p w:rsidR="00576BB8" w:rsidRDefault="00300389"/>
    <w:sectPr w:rsidR="0057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E786B"/>
    <w:multiLevelType w:val="hybridMultilevel"/>
    <w:tmpl w:val="C63CA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1536BFD"/>
    <w:multiLevelType w:val="hybridMultilevel"/>
    <w:tmpl w:val="466AB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62515E4"/>
    <w:multiLevelType w:val="hybridMultilevel"/>
    <w:tmpl w:val="E3E2E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265584F"/>
    <w:multiLevelType w:val="hybridMultilevel"/>
    <w:tmpl w:val="21FE8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1A"/>
    <w:rsid w:val="002A3F75"/>
    <w:rsid w:val="002B0A83"/>
    <w:rsid w:val="002F561A"/>
    <w:rsid w:val="00300389"/>
    <w:rsid w:val="00491D37"/>
    <w:rsid w:val="00987B9F"/>
    <w:rsid w:val="00B70575"/>
    <w:rsid w:val="00FA58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0CBF"/>
  <w15:chartTrackingRefBased/>
  <w15:docId w15:val="{7A8CBAC1-FD37-4771-91EB-4487213E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Richards</dc:creator>
  <cp:keywords/>
  <dc:description/>
  <cp:lastModifiedBy>Roger Edmonds</cp:lastModifiedBy>
  <cp:revision>2</cp:revision>
  <dcterms:created xsi:type="dcterms:W3CDTF">2018-05-23T01:25:00Z</dcterms:created>
  <dcterms:modified xsi:type="dcterms:W3CDTF">2018-07-18T05:45:00Z</dcterms:modified>
</cp:coreProperties>
</file>